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989" w:tblpY="1428"/>
        <w:tblOverlap w:val="never"/>
        <w:tblW w:w="9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858"/>
        <w:gridCol w:w="5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537" w:hRule="atLeast"/>
        </w:trPr>
        <w:tc>
          <w:tcPr>
            <w:tcW w:w="3858"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ascii="黑体" w:hAnsi="宋体" w:eastAsia="黑体" w:cs="黑体"/>
                <w:i w:val="0"/>
                <w:color w:val="auto"/>
                <w:sz w:val="28"/>
                <w:szCs w:val="28"/>
                <w:u w:val="none"/>
              </w:rPr>
            </w:pPr>
            <w:r>
              <w:rPr>
                <w:rFonts w:hint="eastAsia" w:ascii="黑体" w:hAnsi="宋体" w:eastAsia="黑体" w:cs="黑体"/>
                <w:i w:val="0"/>
                <w:color w:val="auto"/>
                <w:kern w:val="0"/>
                <w:sz w:val="28"/>
                <w:szCs w:val="28"/>
                <w:u w:val="none"/>
                <w:lang w:val="en-US" w:eastAsia="zh-CN" w:bidi="ar"/>
              </w:rPr>
              <w:t xml:space="preserve">  </w:t>
            </w:r>
            <w:r>
              <w:rPr>
                <w:rFonts w:hint="eastAsia" w:ascii="黑体" w:hAnsi="宋体" w:eastAsia="黑体" w:cs="黑体"/>
                <w:i w:val="0"/>
                <w:color w:val="auto"/>
                <w:kern w:val="0"/>
                <w:sz w:val="32"/>
                <w:szCs w:val="32"/>
                <w:u w:val="none"/>
                <w:lang w:val="en-US" w:eastAsia="zh-CN" w:bidi="ar"/>
              </w:rPr>
              <w:t>附件4</w:t>
            </w:r>
          </w:p>
        </w:tc>
        <w:tc>
          <w:tcPr>
            <w:tcW w:w="5662"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902" w:hRule="atLeast"/>
        </w:trPr>
        <w:tc>
          <w:tcPr>
            <w:tcW w:w="9520" w:type="dxa"/>
            <w:gridSpan w:val="2"/>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ascii="方正小标宋简体" w:hAnsi="方正小标宋简体" w:eastAsia="方正小标宋简体" w:cs="方正小标宋简体"/>
                <w:i w:val="0"/>
                <w:color w:val="auto"/>
                <w:sz w:val="36"/>
                <w:szCs w:val="36"/>
                <w:u w:val="none"/>
              </w:rPr>
            </w:pPr>
            <w:r>
              <w:rPr>
                <w:rFonts w:hint="eastAsia" w:ascii="方正小标宋简体" w:hAnsi="方正小标宋简体" w:eastAsia="方正小标宋简体" w:cs="方正小标宋简体"/>
                <w:i w:val="0"/>
                <w:color w:val="auto"/>
                <w:kern w:val="0"/>
                <w:sz w:val="44"/>
                <w:szCs w:val="44"/>
                <w:u w:val="none"/>
                <w:lang w:val="en-US" w:eastAsia="zh-CN" w:bidi="ar"/>
              </w:rPr>
              <w:t xml:space="preserve"> </w:t>
            </w:r>
            <w:r>
              <w:rPr>
                <w:rFonts w:hint="eastAsia" w:ascii="方正小标宋简体" w:hAnsi="方正小标宋简体" w:eastAsia="方正小标宋简体" w:cs="方正小标宋简体"/>
                <w:b w:val="0"/>
                <w:bCs w:val="0"/>
                <w:i w:val="0"/>
                <w:color w:val="auto"/>
                <w:kern w:val="0"/>
                <w:sz w:val="44"/>
                <w:szCs w:val="44"/>
                <w:u w:val="none"/>
                <w:lang w:val="en-US" w:eastAsia="zh-CN" w:bidi="ar"/>
              </w:rPr>
              <w:t xml:space="preserve"> 予以废止的以我局名义制定的政策性文件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75" w:hRule="atLeast"/>
        </w:trPr>
        <w:tc>
          <w:tcPr>
            <w:tcW w:w="9520" w:type="dxa"/>
            <w:gridSpan w:val="2"/>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楷体" w:hAnsi="楷体" w:eastAsia="楷体" w:cs="楷体"/>
                <w:i w:val="0"/>
                <w:color w:val="auto"/>
                <w:kern w:val="0"/>
                <w:sz w:val="32"/>
                <w:szCs w:val="32"/>
                <w:u w:val="none"/>
                <w:lang w:val="en-US" w:eastAsia="zh-CN" w:bidi="ar"/>
              </w:rPr>
            </w:pPr>
            <w:r>
              <w:rPr>
                <w:rFonts w:hint="eastAsia" w:ascii="楷体" w:hAnsi="楷体" w:eastAsia="楷体" w:cs="楷体"/>
                <w:i w:val="0"/>
                <w:color w:val="auto"/>
                <w:kern w:val="0"/>
                <w:sz w:val="32"/>
                <w:szCs w:val="32"/>
                <w:u w:val="none"/>
                <w:lang w:val="en-US" w:eastAsia="zh-CN" w:bidi="ar"/>
              </w:rPr>
              <w:t>（共22件）</w:t>
            </w:r>
          </w:p>
        </w:tc>
      </w:tr>
    </w:tbl>
    <w:tbl>
      <w:tblPr>
        <w:tblStyle w:val="2"/>
        <w:tblpPr w:leftFromText="180" w:rightFromText="180" w:vertAnchor="text" w:horzAnchor="page" w:tblpX="947" w:tblpY="541"/>
        <w:tblOverlap w:val="never"/>
        <w:tblW w:w="95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45"/>
        <w:gridCol w:w="2607"/>
        <w:gridCol w:w="61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1" w:hRule="atLeast"/>
        </w:trPr>
        <w:tc>
          <w:tcPr>
            <w:tcW w:w="845" w:type="dxa"/>
            <w:tcBorders>
              <w:top w:val="single" w:color="000000" w:sz="8" w:space="0"/>
              <w:left w:val="single" w:color="000000" w:sz="8" w:space="0"/>
              <w:bottom w:val="nil"/>
              <w:right w:val="single" w:color="000000" w:sz="8"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ascii="仿宋_GB2312" w:hAnsi="宋体" w:eastAsia="仿宋_GB2312" w:cs="仿宋_GB2312"/>
                <w:i w:val="0"/>
                <w:color w:val="000000"/>
                <w:sz w:val="36"/>
                <w:szCs w:val="36"/>
                <w:u w:val="none"/>
              </w:rPr>
            </w:pPr>
            <w:r>
              <w:rPr>
                <w:rFonts w:hint="eastAsia" w:ascii="仿宋_GB2312" w:hAnsi="宋体" w:eastAsia="仿宋_GB2312" w:cs="仿宋_GB2312"/>
                <w:i w:val="0"/>
                <w:color w:val="000000"/>
                <w:kern w:val="0"/>
                <w:sz w:val="36"/>
                <w:szCs w:val="36"/>
                <w:u w:val="none"/>
                <w:lang w:val="en-US" w:eastAsia="zh-CN" w:bidi="ar"/>
              </w:rPr>
              <w:t>序号</w:t>
            </w:r>
          </w:p>
        </w:tc>
        <w:tc>
          <w:tcPr>
            <w:tcW w:w="2607" w:type="dxa"/>
            <w:tcBorders>
              <w:top w:val="single" w:color="000000" w:sz="8" w:space="0"/>
              <w:left w:val="nil"/>
              <w:bottom w:val="nil"/>
              <w:right w:val="single" w:color="000000" w:sz="8"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6"/>
                <w:szCs w:val="36"/>
                <w:u w:val="none"/>
              </w:rPr>
            </w:pPr>
            <w:r>
              <w:rPr>
                <w:rFonts w:hint="eastAsia" w:ascii="仿宋_GB2312" w:hAnsi="宋体" w:eastAsia="仿宋_GB2312" w:cs="仿宋_GB2312"/>
                <w:i w:val="0"/>
                <w:color w:val="000000"/>
                <w:kern w:val="0"/>
                <w:sz w:val="36"/>
                <w:szCs w:val="36"/>
                <w:u w:val="none"/>
                <w:lang w:val="en-US" w:eastAsia="zh-CN" w:bidi="ar"/>
              </w:rPr>
              <w:t>文号</w:t>
            </w:r>
          </w:p>
        </w:tc>
        <w:tc>
          <w:tcPr>
            <w:tcW w:w="6123" w:type="dxa"/>
            <w:tcBorders>
              <w:top w:val="single" w:color="000000" w:sz="8" w:space="0"/>
              <w:left w:val="nil"/>
              <w:bottom w:val="nil"/>
              <w:right w:val="single" w:color="000000" w:sz="8"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6"/>
                <w:szCs w:val="36"/>
                <w:u w:val="none"/>
              </w:rPr>
            </w:pPr>
            <w:bookmarkStart w:id="0" w:name="_GoBack"/>
            <w:bookmarkEnd w:id="0"/>
            <w:r>
              <w:rPr>
                <w:rFonts w:hint="eastAsia" w:ascii="仿宋_GB2312" w:hAnsi="宋体" w:eastAsia="仿宋_GB2312" w:cs="仿宋_GB2312"/>
                <w:i w:val="0"/>
                <w:color w:val="000000"/>
                <w:kern w:val="0"/>
                <w:sz w:val="36"/>
                <w:szCs w:val="36"/>
                <w:u w:val="none"/>
                <w:lang w:val="en-US" w:eastAsia="zh-CN" w:bidi="ar"/>
              </w:rPr>
              <w:t>标题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3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皋财购〔2020〕6号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关于进一步规范政府采购分散采购活动的通知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2"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2</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皋财购〔2020〕4号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关于修订《如皋市单一来源采购方式管理规定》的通知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3</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皋财购〔2016〕4号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关于印发《如皋市政府采购协议（定点）供应商监督考核办法（试行）》的通知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4</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皋财购〔2016〕7号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关于印发《在政府采购领域建立信用体系的实施意见（试行）》的通知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5</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皋财购〔2015〕4号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市财政局 市监察局关于印发《如皋市政府采购单位采购工作责任制暂行办法》的通知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3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6</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皋财工贸〔2022〕16号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2022年如皋市商务发展专项资金使用办法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7</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皋财企〔2017〕16号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关于印发《如皋市化解过剩产能专项奖补资金管理实施细则》的通知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8</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皋财规〔2012〕4号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如皋市财政局关于印发《如皋市财政投资评审委托社会中介机构管理暂行办法》的通知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3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9</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皋财办〔2020〕23号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关于贯彻落实乡村振兴战略的实施意见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10</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皋财社〔2020〕38号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关于印发《如皋市富民担保贷款管理办法》的通知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11</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皋财债〔2020〕3号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市财政局关于印发如皋市国有企业投资建设项目专项债券资金管理暂行办法的通知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12</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皋财综〔2021〕4号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关于印发《如皋市公路水路公共基础设施政府会计核算实施方案》的通知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2"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13</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皋财购〔2020〕12号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关于印发《如皋市政府采购需求管理实施办法》的通知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2"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14</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皋财购〔2018〕1号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关于印发《如皋市市级政府分散采购管理办法》的通知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2"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15</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皋财办〔2017〕13号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关于印发《如皋市财政局规范性文件管理办法》的通知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2"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16</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皋财工贸〔2022〕9号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关于印发《如皋市地方储备粮专项资金管理办法》的通知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17</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皋财库〔2009〕1号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关于印发《如皋市市级部门预算单位公务卡结算财务管理暂行办法》的通知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18</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皋财库〔2006〕11号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关于印发《如皋市市级财政国库管理制度改革会计核算暂行办法》的通知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19</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皋财社〔2019〕11号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关于印发《如皋市基本公共卫生服务补助资金管理办法》的通知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20</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皋财办发〔2020〕1号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关于印发《如皋市新型冠状病毒感染肺炎疫情防控资金管理办法》的通知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2"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21</w:t>
            </w:r>
          </w:p>
        </w:tc>
        <w:tc>
          <w:tcPr>
            <w:tcW w:w="2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皋财综〔2009〕9号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关于印发《如皋市非税收入票据管理暂行办法》的通知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22</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皋财综〔2013〕3号</w:t>
            </w:r>
          </w:p>
        </w:tc>
        <w:tc>
          <w:tcPr>
            <w:tcW w:w="61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关于印发如皋市财政票据管理实施办法的通知</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13573"/>
    <w:rsid w:val="06C13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2024-12-30T06:30:00Z</dcterms:created>
  <dc:creator>费兆根</dc:creator>
  <cp:lastModifiedBy>费兆根</cp:lastModifiedBy>
  <dcterms:modified xsi:type="dcterms:W3CDTF">2024-12-30T06:31:20Z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