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989" w:tblpY="1428"/>
        <w:tblOverlap w:val="never"/>
        <w:tblW w:w="96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685"/>
        <w:gridCol w:w="59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7" w:hRule="atLeast"/>
        </w:trPr>
        <w:tc>
          <w:tcPr>
            <w:tcW w:w="3685"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ascii="黑体" w:hAnsi="宋体" w:eastAsia="黑体" w:cs="黑体"/>
                <w:i w:val="0"/>
                <w:color w:val="auto"/>
                <w:sz w:val="28"/>
                <w:szCs w:val="28"/>
                <w:u w:val="none"/>
              </w:rPr>
            </w:pPr>
            <w:r>
              <w:rPr>
                <w:rFonts w:hint="eastAsia" w:ascii="黑体" w:hAnsi="宋体" w:eastAsia="黑体" w:cs="黑体"/>
                <w:i w:val="0"/>
                <w:color w:val="auto"/>
                <w:kern w:val="0"/>
                <w:sz w:val="28"/>
                <w:szCs w:val="28"/>
                <w:u w:val="none"/>
                <w:lang w:val="en-US" w:eastAsia="zh-CN" w:bidi="ar"/>
              </w:rPr>
              <w:t xml:space="preserve">  </w:t>
            </w:r>
            <w:r>
              <w:rPr>
                <w:rFonts w:hint="eastAsia" w:ascii="黑体" w:hAnsi="宋体" w:eastAsia="黑体" w:cs="黑体"/>
                <w:i w:val="0"/>
                <w:color w:val="auto"/>
                <w:kern w:val="0"/>
                <w:sz w:val="32"/>
                <w:szCs w:val="32"/>
                <w:u w:val="none"/>
                <w:lang w:val="en-US" w:eastAsia="zh-CN" w:bidi="ar"/>
              </w:rPr>
              <w:t>附件3</w:t>
            </w:r>
          </w:p>
        </w:tc>
        <w:tc>
          <w:tcPr>
            <w:tcW w:w="5923"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1" w:hRule="atLeast"/>
        </w:trPr>
        <w:tc>
          <w:tcPr>
            <w:tcW w:w="9608" w:type="dxa"/>
            <w:gridSpan w:val="2"/>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ascii="方正小标宋简体" w:hAnsi="方正小标宋简体" w:eastAsia="方正小标宋简体" w:cs="方正小标宋简体"/>
                <w:i w:val="0"/>
                <w:color w:val="auto"/>
                <w:sz w:val="36"/>
                <w:szCs w:val="36"/>
                <w:u w:val="none"/>
              </w:rPr>
            </w:pPr>
            <w:r>
              <w:rPr>
                <w:rFonts w:hint="eastAsia" w:ascii="方正小标宋简体" w:hAnsi="方正小标宋简体" w:eastAsia="方正小标宋简体" w:cs="方正小标宋简体"/>
                <w:i w:val="0"/>
                <w:color w:val="auto"/>
                <w:kern w:val="0"/>
                <w:sz w:val="44"/>
                <w:szCs w:val="44"/>
                <w:u w:val="none"/>
                <w:lang w:val="en-US" w:eastAsia="zh-CN" w:bidi="ar"/>
              </w:rPr>
              <w:t xml:space="preserve"> </w:t>
            </w:r>
            <w:r>
              <w:rPr>
                <w:rFonts w:hint="eastAsia" w:ascii="方正小标宋简体" w:hAnsi="方正小标宋简体" w:eastAsia="方正小标宋简体" w:cs="方正小标宋简体"/>
                <w:b w:val="0"/>
                <w:bCs w:val="0"/>
                <w:i w:val="0"/>
                <w:color w:val="auto"/>
                <w:kern w:val="0"/>
                <w:sz w:val="44"/>
                <w:szCs w:val="44"/>
                <w:u w:val="none"/>
                <w:lang w:val="en-US" w:eastAsia="zh-CN" w:bidi="ar"/>
              </w:rPr>
              <w:t xml:space="preserve"> </w:t>
            </w:r>
            <w:bookmarkStart w:id="0" w:name="_GoBack"/>
            <w:r>
              <w:rPr>
                <w:rFonts w:hint="eastAsia" w:ascii="方正小标宋简体" w:hAnsi="方正小标宋简体" w:eastAsia="方正小标宋简体" w:cs="方正小标宋简体"/>
                <w:b w:val="0"/>
                <w:bCs w:val="0"/>
                <w:i w:val="0"/>
                <w:color w:val="auto"/>
                <w:kern w:val="0"/>
                <w:sz w:val="44"/>
                <w:szCs w:val="44"/>
                <w:u w:val="none"/>
                <w:lang w:val="en-US" w:eastAsia="zh-CN" w:bidi="ar"/>
              </w:rPr>
              <w:t>予以保留的以我局名义制定的政策性文件</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11" w:hRule="atLeast"/>
        </w:trPr>
        <w:tc>
          <w:tcPr>
            <w:tcW w:w="9608" w:type="dxa"/>
            <w:gridSpan w:val="2"/>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楷体" w:hAnsi="楷体" w:eastAsia="楷体" w:cs="楷体"/>
                <w:i w:val="0"/>
                <w:color w:val="auto"/>
                <w:kern w:val="0"/>
                <w:sz w:val="32"/>
                <w:szCs w:val="32"/>
                <w:u w:val="none"/>
                <w:lang w:val="en-US" w:eastAsia="zh-CN" w:bidi="ar"/>
              </w:rPr>
            </w:pPr>
            <w:r>
              <w:rPr>
                <w:rFonts w:hint="eastAsia" w:ascii="楷体" w:hAnsi="楷体" w:eastAsia="楷体" w:cs="楷体"/>
                <w:i w:val="0"/>
                <w:color w:val="auto"/>
                <w:kern w:val="0"/>
                <w:sz w:val="32"/>
                <w:szCs w:val="32"/>
                <w:u w:val="none"/>
                <w:lang w:val="en-US" w:eastAsia="zh-CN" w:bidi="ar"/>
              </w:rPr>
              <w:t>（共33件）</w:t>
            </w:r>
          </w:p>
        </w:tc>
      </w:tr>
    </w:tbl>
    <w:tbl>
      <w:tblPr>
        <w:tblStyle w:val="2"/>
        <w:tblpPr w:leftFromText="180" w:rightFromText="180" w:vertAnchor="text" w:horzAnchor="page" w:tblpX="792" w:tblpY="424"/>
        <w:tblOverlap w:val="never"/>
        <w:tblW w:w="99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82"/>
        <w:gridCol w:w="2901"/>
        <w:gridCol w:w="62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9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序号</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文号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标题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3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皋财综〔2020〕1号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关于进一步规范社会团体财政票据管理的通知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皋财资〔2020〕8号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关于进一步加强行政事业单位固定资产管理的通知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3</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皋财资〔2017〕1号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关于印发如皋市行政事业单位资产管理员管理办法（暂行）的通知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4</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皋财预〔2019〕11号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关于财税部门共同做好减税降费政策落实工作的通知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5</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皋财预〔2015〕4号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关于印发《部门预算单位财政财务管理办法（试行）》的通知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6</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皋财行〔2021〕4号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关于落实党政机关会议定点场所制度有关事项的通知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7</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皋财行〔2020〕4号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关于印发《如皋市市级安全生产预发和应急专项资金管理办法》的通知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8</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皋财行〔2019〕1号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关于印发《如皋市市级机关培训费管理办法》的通知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9</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皋财行〔2014〕33号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关于印发《如皋市机关事业单位差旅费管理办法》的通知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10</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皋财行〔2013〕19号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如皋市教育专项资金管理办法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11</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皋财社〔2019〕27号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关于印发《如皋市省级社会养老服务体系建设专项资金管理办法》的通知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12</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皋财社〔2023〕54号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关于修订《如皋市基本公共卫生服务补助资金管理办法》的通知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13</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皋财社〔2021〕59号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关于印发《如皋市特困集中供养失能（矢智）人员保障资金管理办法》的通知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14</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皋财社〔2021〕47号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关于调整《如皋市就业补助资金管理办法》部分条款的通知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15</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皋财社〔2020〕51号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如皋市就业困难人员灵活就业社会保险补贴实施意见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16</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皋财社〔2020〕48号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关于印发《如皋市农村留守儿童关爱保护和困境儿童保障体系建设资金补助暂行办法》的通知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17</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皋财社〔2020〕25号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关于印发《如皋市就业补助资金管理办法》的通知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18</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皋财库〔2022〕2号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关于印发《如皋市落实增值退税留抵退税政策工作方案》的通知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19</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皋财库〔2018〕7号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关于印发《如皋市市级国库集中支付业务电子化管理暂行办法》的通知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20</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皋财库〔2018〕2号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关于进一步加强市级预算单位资金存放管理的实施意见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21</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皋财库〔2016〕2号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如皋市财政局关于印发《如皋市市本级财政国库内部管理制度》的通知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22</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皋财库〔2014〕6号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关于印发《如皋市市级预算单位账户管理暂行办法》的通知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23</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皋财库〔2013〕5号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关于印发《如皋市财政局财政对外借款管理暂行办法》的通知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24</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皋财库〔2006〕12号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关于印发《如皋市市级财政国库管理制度改革资金支付管理暂行办法》的通知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25</w:t>
            </w:r>
          </w:p>
        </w:tc>
        <w:tc>
          <w:tcPr>
            <w:tcW w:w="2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皋财管〔2021〕2号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关于印发《镇（区、街道）财政和资产管理局岗位职责和内部管理制度》的通知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26</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皋财管〔2017〕1号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关于重新修订《如皋市镇（区、街道）财政所（分局）档案分类、基本归档范围及保管期限》的通知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27</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皋财购〔2022〕17号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关于印发《如皋市深化政府采购制度改革实施细则》的通知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28</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皋财购〔2021〕3号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关于印发《如皋市预算单位政府采购内控规范指导意见》的通知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29</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皋财购〔2020〕3号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关于印发《如皋市政府采购支持中小企业信用融资实施办法（试行）》的通知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30</w:t>
            </w:r>
          </w:p>
        </w:tc>
        <w:tc>
          <w:tcPr>
            <w:tcW w:w="2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皋财办发〔2023〕1号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关于印发《如皋市市级部门整体绩效评价管理暂行办法》的通知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31</w:t>
            </w:r>
          </w:p>
        </w:tc>
        <w:tc>
          <w:tcPr>
            <w:tcW w:w="2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皋财办〔2022〕27号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关于印发《如皋市财政局法律事务管理办法》的通知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32</w:t>
            </w:r>
          </w:p>
        </w:tc>
        <w:tc>
          <w:tcPr>
            <w:tcW w:w="2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皋财办〔2020〕9号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关于印发《如皋市财政局全面推行行政执法公示制度执法全过程记录制度重大执法决定法制审核制度实施方案》的通知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68"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33</w:t>
            </w:r>
          </w:p>
        </w:tc>
        <w:tc>
          <w:tcPr>
            <w:tcW w:w="2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皋财办〔2020〕8号</w:t>
            </w:r>
          </w:p>
        </w:tc>
        <w:tc>
          <w:tcPr>
            <w:tcW w:w="62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000000"/>
                <w:kern w:val="0"/>
                <w:sz w:val="32"/>
                <w:szCs w:val="32"/>
                <w:u w:val="none"/>
                <w:lang w:val="en-US" w:eastAsia="zh-CN" w:bidi="ar"/>
              </w:rPr>
            </w:pPr>
            <w:r>
              <w:rPr>
                <w:rFonts w:hint="eastAsia" w:ascii="仿宋_GB2312" w:hAnsi="宋体" w:eastAsia="仿宋_GB2312" w:cs="仿宋_GB2312"/>
                <w:i w:val="0"/>
                <w:color w:val="000000"/>
                <w:kern w:val="0"/>
                <w:sz w:val="32"/>
                <w:szCs w:val="32"/>
                <w:u w:val="none"/>
                <w:lang w:val="en-US" w:eastAsia="zh-CN" w:bidi="ar"/>
              </w:rPr>
              <w:t>关于印发《如皋市财政局行政执法公示制度实施办法》《如皋市财政局行政执法全过程记录实施办法》《如皋市财政局重大执法决定法制审核实施办法》的通知</w:t>
            </w:r>
          </w:p>
        </w:tc>
      </w:tr>
    </w:tbl>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D394F"/>
    <w:rsid w:val="755D3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2024-12-30T06:29:00Z</dcterms:created>
  <dc:creator>费兆根</dc:creator>
  <cp:lastModifiedBy>费兆根</cp:lastModifiedBy>
  <dcterms:modified xsi:type="dcterms:W3CDTF">2024-12-30T06:30:41Z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